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BE3234">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BE3234">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(ECyR)</w:t>
            </w:r>
          </w:p>
        </w:tc>
      </w:tr>
      <w:tr w:rsidR="004149ED" w:rsidRPr="00A70556" w14:paraId="4D06B551" w14:textId="77777777" w:rsidTr="00BE3234">
        <w:trPr>
          <w:gridAfter w:val="2"/>
          <w:wAfter w:w="108" w:type="dxa"/>
          <w:trHeight w:val="340"/>
        </w:trPr>
        <w:tc>
          <w:tcPr>
            <w:tcW w:w="4712" w:type="dxa"/>
            <w:gridSpan w:val="2"/>
            <w:shd w:val="clear" w:color="auto" w:fill="F2F2F2" w:themeFill="background1" w:themeFillShade="F2"/>
            <w:vAlign w:val="center"/>
          </w:tcPr>
          <w:p w14:paraId="37BE346E" w14:textId="77777777" w:rsidR="004149ED" w:rsidRPr="00A70556" w:rsidRDefault="004149ED" w:rsidP="00857D74">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16EE3F7F" w14:textId="77777777" w:rsidR="004149ED" w:rsidRPr="00A70556" w:rsidRDefault="004149ED" w:rsidP="00857D74">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4149ED" w14:paraId="01F2EA1C" w14:textId="77777777" w:rsidTr="00BE3234">
        <w:trPr>
          <w:gridAfter w:val="2"/>
          <w:wAfter w:w="108" w:type="dxa"/>
          <w:trHeight w:val="340"/>
        </w:trPr>
        <w:tc>
          <w:tcPr>
            <w:tcW w:w="4712" w:type="dxa"/>
            <w:gridSpan w:val="2"/>
            <w:shd w:val="clear" w:color="auto" w:fill="auto"/>
            <w:vAlign w:val="center"/>
          </w:tcPr>
          <w:p w14:paraId="1566B786" w14:textId="454F249C" w:rsidR="004149ED" w:rsidRPr="00C0530C" w:rsidRDefault="00C0530C" w:rsidP="00C0530C">
            <w:pPr>
              <w:spacing w:after="0" w:line="276" w:lineRule="auto"/>
              <w:jc w:val="center"/>
              <w:rPr>
                <w:b/>
                <w:bCs/>
              </w:rPr>
            </w:pPr>
            <w:r w:rsidRPr="00C0530C">
              <w:t>12</w:t>
            </w:r>
            <w:r w:rsidR="004149ED" w:rsidRPr="00C0530C">
              <w:t>/</w:t>
            </w:r>
            <w:r w:rsidRPr="00C0530C">
              <w:t>08</w:t>
            </w:r>
            <w:r w:rsidR="004149ED" w:rsidRPr="00C0530C">
              <w:t>/2022</w:t>
            </w:r>
          </w:p>
        </w:tc>
        <w:tc>
          <w:tcPr>
            <w:tcW w:w="5098" w:type="dxa"/>
            <w:shd w:val="clear" w:color="auto" w:fill="auto"/>
            <w:vAlign w:val="center"/>
          </w:tcPr>
          <w:p w14:paraId="209B5404" w14:textId="1E73B660" w:rsidR="004149ED" w:rsidRPr="00A70556" w:rsidRDefault="00C0530C" w:rsidP="0034573D">
            <w:pPr>
              <w:spacing w:after="0" w:line="276" w:lineRule="auto"/>
              <w:jc w:val="center"/>
              <w:rPr>
                <w:b/>
                <w:bCs/>
              </w:rPr>
            </w:pPr>
            <w:r w:rsidRPr="00C0530C">
              <w:t>30/11/2022</w:t>
            </w:r>
          </w:p>
        </w:tc>
      </w:tr>
      <w:tr w:rsidR="00A70556" w14:paraId="6B7EC127" w14:textId="77777777" w:rsidTr="00BE3234">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BE3234">
        <w:trPr>
          <w:trHeight w:val="340"/>
        </w:trPr>
        <w:tc>
          <w:tcPr>
            <w:tcW w:w="9918" w:type="dxa"/>
            <w:gridSpan w:val="5"/>
            <w:shd w:val="clear" w:color="auto" w:fill="auto"/>
            <w:vAlign w:val="center"/>
          </w:tcPr>
          <w:p w14:paraId="78C4F704" w14:textId="312F9BF3" w:rsidR="00A70556" w:rsidRPr="00581B4A" w:rsidRDefault="00A165BB" w:rsidP="00521401">
            <w:pPr>
              <w:pStyle w:val="Prrafodelista"/>
              <w:spacing w:after="0" w:line="276" w:lineRule="auto"/>
              <w:ind w:left="37"/>
              <w:jc w:val="both"/>
              <w:rPr>
                <w:b/>
                <w:bCs/>
              </w:rPr>
            </w:pPr>
            <w:r w:rsidRPr="0008479E">
              <w:t>Dr. Gerardo Kenny Inzunza Leyva</w:t>
            </w:r>
            <w:r w:rsidR="00A70556" w:rsidRPr="0008479E">
              <w:t xml:space="preserve">, </w:t>
            </w:r>
            <w:r w:rsidRPr="0008479E">
              <w:t>Dirección de Prevención y Promoción a la Salud de los Servicios de Salud de Sinaloa</w:t>
            </w:r>
          </w:p>
        </w:tc>
      </w:tr>
      <w:tr w:rsidR="00A70556" w14:paraId="79DD6CAD" w14:textId="77777777" w:rsidTr="00BE3234">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83E300A"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526C01">
        <w:rPr>
          <w:b/>
        </w:rPr>
        <w:t>Cáncer de la Mujer</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11507ACD" w14:textId="59756E73" w:rsidR="006174B7" w:rsidRDefault="00185FFE" w:rsidP="00185FFE">
      <w:pPr>
        <w:pStyle w:val="Prrafodelista"/>
        <w:spacing w:line="240" w:lineRule="auto"/>
        <w:jc w:val="both"/>
      </w:pPr>
      <w:r>
        <w:t>El problema público de Cáncer de la Mujer es el incremento en el número de muertes por cáncer de mama, asimismo, el</w:t>
      </w:r>
      <w:r w:rsidRPr="00185FFE">
        <w:t xml:space="preserve"> objetivo del programa es contribuir a la disminución por cáncer cérvico uterino y mamario en nuestra entidad, mediante el diagnóstico y tratamiento oportuno a través de los estudios que se practican a toda mujer mayor de los 25 a los 69 años de edad, en las unidades de salud de primer nivel y hospitalarias, con el objetivo de mejorar la salud y calidad de vida de las mujeres.</w:t>
      </w:r>
    </w:p>
    <w:p w14:paraId="5890BBC3" w14:textId="77777777" w:rsidR="00185FFE" w:rsidRDefault="00185FFE" w:rsidP="00185FFE">
      <w:pPr>
        <w:spacing w:line="240" w:lineRule="auto"/>
        <w:ind w:left="708"/>
        <w:jc w:val="both"/>
      </w:pPr>
      <w:r>
        <w:t>A través de estos objetivos el programa se encuentra alineado al PED Sinaloa 2017 – 2021, dentro del Eje estratégico II, “</w:t>
      </w:r>
      <w:r w:rsidRPr="00440C0D">
        <w:rPr>
          <w:i/>
        </w:rPr>
        <w:t>Desarrollo humano y social</w:t>
      </w:r>
      <w:r>
        <w:t>”, tema 4 “</w:t>
      </w:r>
      <w:r w:rsidRPr="00440C0D">
        <w:rPr>
          <w:i/>
        </w:rPr>
        <w:t>Por un entorno y sociedad saludable</w:t>
      </w:r>
      <w:r>
        <w:t>”.</w:t>
      </w:r>
    </w:p>
    <w:p w14:paraId="52E2FB05" w14:textId="77777777" w:rsidR="00185FFE" w:rsidRDefault="00185FFE" w:rsidP="00185FFE">
      <w:pPr>
        <w:spacing w:line="240" w:lineRule="auto"/>
        <w:ind w:left="708"/>
        <w:jc w:val="both"/>
      </w:pPr>
      <w:r>
        <w:t>Además, en el PSS 2017 – 2021 derivado del PED Sinaloa 2017 – 2021, se establece que el objetivo del programa es “</w:t>
      </w:r>
      <w:r w:rsidRPr="00E8678F">
        <w:rPr>
          <w:i/>
        </w:rPr>
        <w:t>Alcanzar cobertura en salud, con base en un Sistema de Redes Servicios de Atención, con unidades de primer, segundo y tercer nivel de calidad y seguridad para los usuarios, garantizando la protección financiera a la población que carece de seguridad social</w:t>
      </w:r>
      <w:r>
        <w:t>” a través de la estrategia “</w:t>
      </w:r>
      <w:r w:rsidRPr="00E8678F">
        <w:rPr>
          <w:i/>
        </w:rPr>
        <w:t>Mejorar la calidad de los servicios de salud del Sistema Estatal de Salud</w:t>
      </w:r>
      <w:r>
        <w:t>”, lo anterior, alineado al instrumento 2.5 “</w:t>
      </w:r>
      <w:r w:rsidRPr="00E8678F">
        <w:rPr>
          <w:i/>
        </w:rPr>
        <w:t>Implementar esquemas proactivos de prevención, detección oportuna y tratamiento de casos de cáncer de la mujer</w:t>
      </w:r>
      <w:r>
        <w:t>” de la política 2 “</w:t>
      </w:r>
      <w:r w:rsidRPr="00E8678F">
        <w:rPr>
          <w:i/>
        </w:rPr>
        <w:t>Implementar un modelo de atención a la salud integral e integrada</w:t>
      </w:r>
      <w:r>
        <w:t>”.</w:t>
      </w:r>
    </w:p>
    <w:p w14:paraId="3F23CBAE" w14:textId="0384C8CC" w:rsidR="00185FFE" w:rsidRDefault="00185FFE" w:rsidP="00185FFE">
      <w:pPr>
        <w:pStyle w:val="Prrafodelista"/>
        <w:spacing w:line="240" w:lineRule="auto"/>
        <w:jc w:val="both"/>
      </w:pPr>
      <w:r>
        <w:t>Por otro lado, el programa cuenta con la NOM-014-SSA2-1994, para la prevención, detección, diagnóstico, tratamiento, control y vigilancia epidemiológica del cáncer cérvico uterino y la NOM-041-SSA2-2011, para la prevención, diagnóstico, tratamiento, control y vigilancia epidemiológica del cáncer de mama; donde se establecen los principios, políticas, estrategias, criterios y lineamientos de operación del cáncer cérvico uterino y del cáncer de mama.</w:t>
      </w:r>
    </w:p>
    <w:p w14:paraId="6211347B" w14:textId="17CB5E0E" w:rsidR="00185FFE" w:rsidRDefault="00185FFE" w:rsidP="00185FFE">
      <w:pPr>
        <w:spacing w:line="240" w:lineRule="auto"/>
        <w:ind w:left="708"/>
        <w:jc w:val="both"/>
      </w:pPr>
      <w:r>
        <w:t>Cáncer de la mujer se encuentra contemplado dentro de los Objetivos del Desarrollo Sostenible y se identifica un vínculo importante que hay en las líneas de acción que atiende el programa con los objetivos y metas establecidos en los Objetivos del Desarrollo Sostenible, como serían los siguientes:</w:t>
      </w:r>
    </w:p>
    <w:p w14:paraId="4917489F" w14:textId="77777777" w:rsidR="00185FFE" w:rsidRDefault="00185FFE" w:rsidP="00185FFE">
      <w:pPr>
        <w:pStyle w:val="Prrafodelista"/>
        <w:numPr>
          <w:ilvl w:val="0"/>
          <w:numId w:val="23"/>
        </w:numPr>
        <w:spacing w:line="276" w:lineRule="auto"/>
        <w:jc w:val="both"/>
      </w:pPr>
      <w:r>
        <w:t>Objetivo 3. “Salud y bienestar”.</w:t>
      </w:r>
    </w:p>
    <w:p w14:paraId="1D49D1DB" w14:textId="6A15BBBB" w:rsidR="00185FFE" w:rsidRDefault="00185FFE" w:rsidP="00185FFE">
      <w:pPr>
        <w:pStyle w:val="Prrafodelista"/>
        <w:numPr>
          <w:ilvl w:val="0"/>
          <w:numId w:val="23"/>
        </w:numPr>
        <w:spacing w:line="276" w:lineRule="auto"/>
        <w:jc w:val="both"/>
      </w:pPr>
      <w:r>
        <w:t>Objetivo específico 3.4. “R</w:t>
      </w:r>
      <w:r w:rsidRPr="00F079AE">
        <w:t>educir en un tercio la mortalidad prematura por enfermedades no transmisibles mediante la prevención y el tratamiento y promover la salud mental y el bienestar</w:t>
      </w:r>
      <w:r>
        <w:t>”.</w:t>
      </w:r>
    </w:p>
    <w:p w14:paraId="34FBD8A8" w14:textId="77777777" w:rsidR="00185FFE" w:rsidRDefault="00185FFE" w:rsidP="00185FFE">
      <w:pPr>
        <w:spacing w:line="240" w:lineRule="auto"/>
        <w:ind w:left="708"/>
        <w:jc w:val="both"/>
      </w:pPr>
      <w:r>
        <w:t xml:space="preserve">La población potencial y la población objetivo se encuentran estimadas de acuerdo con la proyección de la población de México y de las Entidades Federativas que realiza la CONAPO. </w:t>
      </w:r>
    </w:p>
    <w:p w14:paraId="3CB386E3" w14:textId="77777777" w:rsidR="00185FFE" w:rsidRDefault="00185FFE" w:rsidP="00185FFE">
      <w:pPr>
        <w:spacing w:line="240" w:lineRule="auto"/>
        <w:ind w:left="708"/>
        <w:jc w:val="both"/>
      </w:pPr>
      <w:r w:rsidRPr="008229C6">
        <w:t>Estas proyecciones están basadas en el censo de población y vivienda que realiza el INEGI de los conteos o censos.</w:t>
      </w:r>
      <w:r>
        <w:t xml:space="preserve"> Con base en esta información de proyecciones de la población, e</w:t>
      </w:r>
      <w:r w:rsidRPr="006815E6">
        <w:t>l programa</w:t>
      </w:r>
      <w:r>
        <w:t xml:space="preserve"> Cáncer de la Mujer </w:t>
      </w:r>
      <w:r w:rsidRPr="006815E6">
        <w:t>contempla</w:t>
      </w:r>
      <w:r>
        <w:t xml:space="preserve"> lo siguiente:</w:t>
      </w:r>
    </w:p>
    <w:p w14:paraId="4E4A94D8" w14:textId="77777777" w:rsidR="00185FFE" w:rsidRDefault="00185FFE" w:rsidP="00185FFE">
      <w:pPr>
        <w:pStyle w:val="Prrafodelista"/>
        <w:numPr>
          <w:ilvl w:val="0"/>
          <w:numId w:val="25"/>
        </w:numPr>
        <w:spacing w:line="276" w:lineRule="auto"/>
        <w:jc w:val="both"/>
      </w:pPr>
      <w:r>
        <w:t>Cáncer mamario: su p</w:t>
      </w:r>
      <w:r w:rsidRPr="006815E6">
        <w:t xml:space="preserve">oblación potencial fue de </w:t>
      </w:r>
      <w:r>
        <w:t>175,154</w:t>
      </w:r>
      <w:r w:rsidRPr="006815E6">
        <w:t xml:space="preserve"> personas y la población objetivo de </w:t>
      </w:r>
      <w:r>
        <w:t>26,273</w:t>
      </w:r>
      <w:r w:rsidRPr="006815E6">
        <w:t xml:space="preserve"> personas.</w:t>
      </w:r>
    </w:p>
    <w:p w14:paraId="5ECFEFF7" w14:textId="1E3D0F44" w:rsidR="00185FFE" w:rsidRDefault="00185FFE" w:rsidP="00185FFE">
      <w:pPr>
        <w:pStyle w:val="Prrafodelista"/>
        <w:numPr>
          <w:ilvl w:val="0"/>
          <w:numId w:val="25"/>
        </w:numPr>
        <w:spacing w:line="276" w:lineRule="auto"/>
        <w:jc w:val="both"/>
      </w:pPr>
      <w:r>
        <w:t>Cáncer cérvico uterino: su p</w:t>
      </w:r>
      <w:r w:rsidRPr="006815E6">
        <w:t xml:space="preserve">oblación potencial fue de </w:t>
      </w:r>
      <w:r>
        <w:t>320,997</w:t>
      </w:r>
      <w:r w:rsidRPr="006815E6">
        <w:t xml:space="preserve"> pers</w:t>
      </w:r>
      <w:r>
        <w:t>onas y la población objetivo de 65,340</w:t>
      </w:r>
      <w:r w:rsidRPr="006815E6">
        <w:t xml:space="preserve"> personas.</w:t>
      </w:r>
    </w:p>
    <w:p w14:paraId="1817E63F" w14:textId="77777777" w:rsidR="00185FFE" w:rsidRPr="006815E6" w:rsidRDefault="00185FFE" w:rsidP="00185FFE">
      <w:pPr>
        <w:pStyle w:val="Prrafodelista"/>
        <w:spacing w:line="240" w:lineRule="auto"/>
        <w:jc w:val="both"/>
      </w:pPr>
    </w:p>
    <w:p w14:paraId="6B2F1DCC" w14:textId="77777777" w:rsidR="00185FFE" w:rsidRDefault="00185FFE">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037CF0D0" w:rsidR="003E1018" w:rsidRPr="003E1018" w:rsidRDefault="003E1018" w:rsidP="006F4B1F">
            <w:pPr>
              <w:pStyle w:val="Prrafodelista"/>
              <w:numPr>
                <w:ilvl w:val="1"/>
                <w:numId w:val="5"/>
              </w:numPr>
              <w:spacing w:after="0" w:line="276" w:lineRule="auto"/>
              <w:ind w:left="567" w:hanging="431"/>
              <w:jc w:val="both"/>
            </w:pPr>
            <w:r w:rsidRPr="003E1018">
              <w:rPr>
                <w:b/>
                <w:bCs/>
              </w:rPr>
              <w:lastRenderedPageBreak/>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0DB64C27" w14:textId="56B262EB" w:rsidR="006174B7" w:rsidRDefault="006174B7" w:rsidP="00975299">
      <w:pPr>
        <w:pStyle w:val="Prrafodelista"/>
        <w:numPr>
          <w:ilvl w:val="2"/>
          <w:numId w:val="5"/>
        </w:numPr>
        <w:spacing w:after="0" w:line="276" w:lineRule="auto"/>
        <w:ind w:left="993" w:hanging="567"/>
        <w:jc w:val="both"/>
        <w:rPr>
          <w:b/>
          <w:bCs/>
        </w:rPr>
      </w:pPr>
      <w:r>
        <w:rPr>
          <w:b/>
          <w:bCs/>
        </w:rPr>
        <w:t>Fortalezas</w:t>
      </w:r>
    </w:p>
    <w:p w14:paraId="13A4911B" w14:textId="3B2EBBC2" w:rsidR="00BC6A0D" w:rsidRDefault="00BC6A0D" w:rsidP="00BC6A0D">
      <w:pPr>
        <w:pStyle w:val="Prrafodelista"/>
        <w:numPr>
          <w:ilvl w:val="0"/>
          <w:numId w:val="8"/>
        </w:numPr>
        <w:spacing w:after="0" w:line="276" w:lineRule="auto"/>
        <w:jc w:val="both"/>
      </w:pPr>
      <w:r>
        <w:t>Se tiene identificado el problema que busca resolver, mismo que se encuentra identificado en el árbol de problema del programa y en el PED Sinaloa 2017 - 2021.</w:t>
      </w:r>
    </w:p>
    <w:p w14:paraId="2B5F84DD" w14:textId="77777777" w:rsidR="00BC6A0D" w:rsidRDefault="00BC6A0D" w:rsidP="00BC6A0D">
      <w:pPr>
        <w:pStyle w:val="Prrafodelista"/>
        <w:numPr>
          <w:ilvl w:val="0"/>
          <w:numId w:val="8"/>
        </w:numPr>
        <w:spacing w:after="0" w:line="276" w:lineRule="auto"/>
        <w:jc w:val="both"/>
      </w:pPr>
      <w:r>
        <w:t>Está vinculado a los objetivos y estrategias del PSS 2017 – 2021 y del PED Sinaloa 2017 – 2021.</w:t>
      </w:r>
    </w:p>
    <w:p w14:paraId="0A78D3C7" w14:textId="77777777" w:rsidR="00BC6A0D" w:rsidRDefault="00BC6A0D" w:rsidP="00BC6A0D">
      <w:pPr>
        <w:pStyle w:val="Prrafodelista"/>
        <w:numPr>
          <w:ilvl w:val="0"/>
          <w:numId w:val="8"/>
        </w:numPr>
        <w:spacing w:after="0" w:line="276" w:lineRule="auto"/>
        <w:jc w:val="both"/>
      </w:pPr>
      <w:r>
        <w:t>Se cuenta con la MIR y sus fichas técnicas donde las metas de los indicadores están orientadas a impulsar el desempeño del programa.</w:t>
      </w:r>
    </w:p>
    <w:p w14:paraId="58612354" w14:textId="77777777" w:rsidR="00BC6A0D" w:rsidRDefault="00BC6A0D" w:rsidP="00BC6A0D">
      <w:pPr>
        <w:pStyle w:val="Prrafodelista"/>
        <w:numPr>
          <w:ilvl w:val="0"/>
          <w:numId w:val="8"/>
        </w:numPr>
        <w:spacing w:after="0" w:line="276" w:lineRule="auto"/>
        <w:jc w:val="both"/>
      </w:pPr>
      <w:r>
        <w:t>Se encuentra alineado conforme a la Ley de Salud del Estado de Sinaloa.</w:t>
      </w:r>
    </w:p>
    <w:p w14:paraId="21952389" w14:textId="77777777" w:rsidR="00BC6A0D" w:rsidRDefault="00BC6A0D" w:rsidP="00BC6A0D">
      <w:pPr>
        <w:pStyle w:val="Prrafodelista"/>
        <w:numPr>
          <w:ilvl w:val="0"/>
          <w:numId w:val="8"/>
        </w:numPr>
        <w:spacing w:after="0" w:line="276" w:lineRule="auto"/>
        <w:jc w:val="both"/>
      </w:pPr>
      <w:r>
        <w:t>Existen elementos metodológicos y de planeación que permiten diseñar, monitorear, dar seguimiento, evaluar y rendir cuentas del programa.</w:t>
      </w:r>
    </w:p>
    <w:p w14:paraId="71810653" w14:textId="77777777" w:rsidR="00BC6A0D" w:rsidRDefault="00BC6A0D" w:rsidP="00BC6A0D">
      <w:pPr>
        <w:pStyle w:val="Prrafodelista"/>
        <w:numPr>
          <w:ilvl w:val="0"/>
          <w:numId w:val="8"/>
        </w:numPr>
        <w:spacing w:after="0" w:line="276" w:lineRule="auto"/>
        <w:jc w:val="both"/>
      </w:pPr>
      <w:r>
        <w:t>Se encuentra acorde con lineamientos de planeación estatal y federal.</w:t>
      </w:r>
    </w:p>
    <w:p w14:paraId="7DDC89E5" w14:textId="77777777" w:rsidR="00BC6A0D" w:rsidRDefault="00BC6A0D" w:rsidP="00BC6A0D">
      <w:pPr>
        <w:pStyle w:val="Prrafodelista"/>
        <w:numPr>
          <w:ilvl w:val="0"/>
          <w:numId w:val="8"/>
        </w:numPr>
        <w:spacing w:after="0" w:line="276" w:lineRule="auto"/>
        <w:jc w:val="both"/>
      </w:pPr>
      <w:r>
        <w:t>Se difunde información relevante sobre el programa en el sitio web de los SSS.</w:t>
      </w:r>
    </w:p>
    <w:p w14:paraId="10A31E31" w14:textId="77777777" w:rsidR="00BC6A0D" w:rsidRDefault="00BC6A0D" w:rsidP="00BC6A0D">
      <w:pPr>
        <w:pStyle w:val="Prrafodelista"/>
        <w:numPr>
          <w:ilvl w:val="0"/>
          <w:numId w:val="8"/>
        </w:numPr>
        <w:spacing w:after="0" w:line="276" w:lineRule="auto"/>
        <w:jc w:val="both"/>
      </w:pPr>
      <w:r>
        <w:t>Se cuenta con información sobre la población objetivo, que cubre el programa.</w:t>
      </w:r>
    </w:p>
    <w:p w14:paraId="5CC9E4FD" w14:textId="77777777" w:rsidR="00BC6A0D" w:rsidRDefault="00BC6A0D" w:rsidP="00BC6A0D">
      <w:pPr>
        <w:pStyle w:val="Prrafodelista"/>
        <w:numPr>
          <w:ilvl w:val="0"/>
          <w:numId w:val="8"/>
        </w:numPr>
        <w:spacing w:after="0" w:line="276" w:lineRule="auto"/>
        <w:jc w:val="both"/>
      </w:pPr>
      <w:r>
        <w:t>Se alcanzó un 22.00% de cobertura en lo que respecta a cáncer mamario y en cáncer cérvico uterino, se obtuvo una cobertura del 17.29%, lo anterior, en el ejercicio fiscal 2021.</w:t>
      </w:r>
    </w:p>
    <w:p w14:paraId="486297AD" w14:textId="77777777" w:rsidR="00BC6A0D" w:rsidRDefault="00BC6A0D" w:rsidP="00BC6A0D">
      <w:pPr>
        <w:pStyle w:val="Prrafodelista"/>
        <w:numPr>
          <w:ilvl w:val="0"/>
          <w:numId w:val="8"/>
        </w:numPr>
        <w:spacing w:after="0" w:line="276" w:lineRule="auto"/>
        <w:jc w:val="both"/>
      </w:pPr>
      <w:r>
        <w:t>Se puede localizar en la página web de los SSS la información de los principales resultados del programa.</w:t>
      </w:r>
    </w:p>
    <w:p w14:paraId="0961928E" w14:textId="77777777" w:rsidR="00BC6A0D" w:rsidRDefault="00BC6A0D" w:rsidP="00BC6A0D">
      <w:pPr>
        <w:pStyle w:val="Prrafodelista"/>
        <w:numPr>
          <w:ilvl w:val="0"/>
          <w:numId w:val="8"/>
        </w:numPr>
        <w:spacing w:after="0" w:line="276" w:lineRule="auto"/>
        <w:jc w:val="both"/>
      </w:pPr>
      <w:r>
        <w:t>Se cuenta con guías metodológicas y operativas de trabajo para diferentes acciones.</w:t>
      </w:r>
    </w:p>
    <w:p w14:paraId="7F4008BB" w14:textId="77777777" w:rsidR="00BC6A0D" w:rsidRDefault="00BC6A0D" w:rsidP="00BC6A0D">
      <w:pPr>
        <w:pStyle w:val="Prrafodelista"/>
        <w:numPr>
          <w:ilvl w:val="0"/>
          <w:numId w:val="8"/>
        </w:numPr>
        <w:spacing w:after="0" w:line="276" w:lineRule="auto"/>
        <w:jc w:val="both"/>
      </w:pPr>
      <w:r>
        <w:t>En el Estado de Sinaloa, se cuenta con la ISC.</w:t>
      </w:r>
    </w:p>
    <w:p w14:paraId="569BE225" w14:textId="77777777" w:rsidR="00BC6A0D" w:rsidRDefault="00BC6A0D" w:rsidP="00BC6A0D">
      <w:pPr>
        <w:pStyle w:val="Prrafodelista"/>
        <w:numPr>
          <w:ilvl w:val="0"/>
          <w:numId w:val="8"/>
        </w:numPr>
        <w:spacing w:after="0" w:line="276" w:lineRule="auto"/>
        <w:jc w:val="both"/>
      </w:pPr>
      <w:r>
        <w:t>En el Estado de Sinaloa, se cuenta con la UNEME DEDICAM.</w:t>
      </w:r>
    </w:p>
    <w:p w14:paraId="353F9B28" w14:textId="77777777" w:rsidR="00BC6A0D" w:rsidRDefault="00BC6A0D" w:rsidP="00BC6A0D">
      <w:pPr>
        <w:pStyle w:val="Prrafodelista"/>
        <w:numPr>
          <w:ilvl w:val="0"/>
          <w:numId w:val="8"/>
        </w:numPr>
        <w:spacing w:after="0" w:line="276" w:lineRule="auto"/>
        <w:jc w:val="both"/>
      </w:pPr>
      <w:r>
        <w:t>Se cuenta con la instalación de las unidades móviles para la detección y seguimiento del cáncer de la mujer.</w:t>
      </w:r>
    </w:p>
    <w:p w14:paraId="64300EB8" w14:textId="77777777" w:rsidR="00BC6A0D" w:rsidRDefault="00BC6A0D" w:rsidP="00BC6A0D">
      <w:pPr>
        <w:pStyle w:val="Prrafodelista"/>
        <w:numPr>
          <w:ilvl w:val="0"/>
          <w:numId w:val="8"/>
        </w:numPr>
        <w:spacing w:after="0" w:line="276" w:lineRule="auto"/>
        <w:jc w:val="both"/>
      </w:pPr>
      <w:r>
        <w:t>Se utilizan elementos metodológicos y normas que apoyan la información.</w:t>
      </w:r>
    </w:p>
    <w:p w14:paraId="22B183BC" w14:textId="77777777" w:rsidR="00BC6A0D" w:rsidRDefault="00BC6A0D" w:rsidP="00BC6A0D">
      <w:pPr>
        <w:pStyle w:val="Prrafodelista"/>
        <w:numPr>
          <w:ilvl w:val="0"/>
          <w:numId w:val="8"/>
        </w:numPr>
        <w:spacing w:after="0" w:line="276" w:lineRule="auto"/>
        <w:jc w:val="both"/>
      </w:pPr>
      <w:r>
        <w:t>Los procesos clave en la operación del programa coinciden con las actividades y metas de la MIR.</w:t>
      </w:r>
    </w:p>
    <w:p w14:paraId="0F178370" w14:textId="77777777" w:rsidR="00BC6A0D" w:rsidRDefault="00BC6A0D" w:rsidP="00BC6A0D">
      <w:pPr>
        <w:pStyle w:val="Prrafodelista"/>
        <w:numPr>
          <w:ilvl w:val="0"/>
          <w:numId w:val="8"/>
        </w:numPr>
        <w:spacing w:after="0" w:line="276" w:lineRule="auto"/>
        <w:jc w:val="both"/>
      </w:pPr>
      <w:r>
        <w:t>Gratuidad de la detección, diagnóstico y tratamiento del cáncer de la mujer</w:t>
      </w:r>
    </w:p>
    <w:p w14:paraId="1489B088" w14:textId="141A25C0" w:rsidR="006174B7" w:rsidRPr="006174B7" w:rsidRDefault="00BC6A0D" w:rsidP="00BC6A0D">
      <w:pPr>
        <w:pStyle w:val="Prrafodelista"/>
        <w:numPr>
          <w:ilvl w:val="0"/>
          <w:numId w:val="8"/>
        </w:numPr>
        <w:spacing w:after="0" w:line="276" w:lineRule="auto"/>
        <w:jc w:val="both"/>
      </w:pPr>
      <w:r>
        <w:t>Los resultados de Fin y Propósito se encuentran vertidos en la MIR.</w:t>
      </w:r>
    </w:p>
    <w:p w14:paraId="3A39C1FA" w14:textId="77A4F0C9"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51136E11" w14:textId="77777777" w:rsidR="00BC6A0D" w:rsidRDefault="00BC6A0D" w:rsidP="00BC6A0D">
      <w:pPr>
        <w:pStyle w:val="Prrafodelista"/>
        <w:numPr>
          <w:ilvl w:val="0"/>
          <w:numId w:val="8"/>
        </w:numPr>
        <w:spacing w:after="0" w:line="276" w:lineRule="auto"/>
        <w:jc w:val="both"/>
      </w:pPr>
      <w:r>
        <w:t>Está vinculado a los objetivos y estrategias del PSS 2020 – 2024 y del PND 2019 – 2024.</w:t>
      </w:r>
    </w:p>
    <w:p w14:paraId="71725DE3" w14:textId="42CCD0EC" w:rsidR="00BC6A0D" w:rsidRDefault="00BC6A0D" w:rsidP="00BC6A0D">
      <w:pPr>
        <w:pStyle w:val="Prrafodelista"/>
        <w:numPr>
          <w:ilvl w:val="0"/>
          <w:numId w:val="8"/>
        </w:numPr>
        <w:spacing w:after="0" w:line="276" w:lineRule="auto"/>
        <w:jc w:val="both"/>
      </w:pPr>
      <w:r>
        <w:t>Se cuenta con la NOM-014-SSA2-1994, para la prevención, detección, diagnóstico, tratamiento, control y vigilancia epidemiológica del cáncer cérvico uterino y la NOM-041-SSA2-2011, para la prevención, diagnóstico, tratamiento, control y vigilancia epidemiológica del cáncer de mama.</w:t>
      </w:r>
    </w:p>
    <w:p w14:paraId="4B88B3E4" w14:textId="73846EA4" w:rsidR="00BC6A0D" w:rsidRDefault="00BC6A0D" w:rsidP="00BC6A0D">
      <w:pPr>
        <w:pStyle w:val="Prrafodelista"/>
        <w:numPr>
          <w:ilvl w:val="0"/>
          <w:numId w:val="8"/>
        </w:numPr>
        <w:spacing w:after="0" w:line="276" w:lineRule="auto"/>
        <w:jc w:val="both"/>
      </w:pPr>
      <w:r>
        <w:t xml:space="preserve">Se encuentra alineado conforme a la Ley General de Salud </w:t>
      </w:r>
    </w:p>
    <w:p w14:paraId="566A175B" w14:textId="6809BC50" w:rsidR="00BC6A0D" w:rsidRDefault="00BC6A0D" w:rsidP="00BC6A0D">
      <w:pPr>
        <w:pStyle w:val="Prrafodelista"/>
        <w:numPr>
          <w:ilvl w:val="0"/>
          <w:numId w:val="8"/>
        </w:numPr>
        <w:spacing w:after="0" w:line="276" w:lineRule="auto"/>
        <w:jc w:val="both"/>
      </w:pPr>
      <w:r>
        <w:t>Está vinculado con los Objetivos del Desarrollo Sostenible.</w:t>
      </w:r>
    </w:p>
    <w:p w14:paraId="3F0EDC9E" w14:textId="77777777" w:rsidR="00BC6A0D" w:rsidRDefault="00BC6A0D" w:rsidP="00BC6A0D">
      <w:pPr>
        <w:pStyle w:val="Prrafodelista"/>
        <w:numPr>
          <w:ilvl w:val="0"/>
          <w:numId w:val="8"/>
        </w:numPr>
        <w:spacing w:after="0" w:line="276" w:lineRule="auto"/>
        <w:jc w:val="both"/>
      </w:pPr>
      <w:r>
        <w:t>Se cuenta con un plan estratégico que contempla los resultados que se quieren alcanzar, y los indicadores para medir el avance en el logro de sus resultados.</w:t>
      </w:r>
    </w:p>
    <w:p w14:paraId="38327C14" w14:textId="2373FD59" w:rsidR="00BC6A0D" w:rsidRDefault="00BC6A0D" w:rsidP="00BC6A0D">
      <w:pPr>
        <w:pStyle w:val="Prrafodelista"/>
        <w:numPr>
          <w:ilvl w:val="0"/>
          <w:numId w:val="8"/>
        </w:numPr>
        <w:spacing w:after="0" w:line="276" w:lineRule="auto"/>
        <w:jc w:val="both"/>
      </w:pPr>
      <w:r>
        <w:t>Utiliza sistemas de captura y análisis de la información.</w:t>
      </w:r>
    </w:p>
    <w:p w14:paraId="03CEED93" w14:textId="77777777" w:rsidR="00BC6A0D" w:rsidRDefault="00BC6A0D" w:rsidP="00BC6A0D">
      <w:pPr>
        <w:pStyle w:val="Prrafodelista"/>
        <w:numPr>
          <w:ilvl w:val="0"/>
          <w:numId w:val="8"/>
        </w:numPr>
        <w:spacing w:after="0" w:line="276" w:lineRule="auto"/>
        <w:jc w:val="both"/>
      </w:pPr>
      <w:r>
        <w:t>Concientizar a la población sobre la participación y prevención oportuno del cáncer de la mujer.</w:t>
      </w:r>
    </w:p>
    <w:p w14:paraId="347CDFDE" w14:textId="77777777" w:rsidR="00BC6A0D" w:rsidRDefault="00BC6A0D" w:rsidP="00BC6A0D">
      <w:pPr>
        <w:pStyle w:val="Prrafodelista"/>
        <w:numPr>
          <w:ilvl w:val="0"/>
          <w:numId w:val="8"/>
        </w:numPr>
        <w:spacing w:after="0" w:line="276" w:lineRule="auto"/>
        <w:jc w:val="both"/>
      </w:pPr>
      <w:r>
        <w:t>Supervisión y asesoría sobre el programa de cáncer de la mujer.</w:t>
      </w:r>
    </w:p>
    <w:p w14:paraId="35A51BB8" w14:textId="77777777" w:rsidR="00BC6A0D" w:rsidRDefault="00BC6A0D" w:rsidP="00BC6A0D">
      <w:pPr>
        <w:pStyle w:val="Prrafodelista"/>
        <w:numPr>
          <w:ilvl w:val="0"/>
          <w:numId w:val="8"/>
        </w:numPr>
        <w:spacing w:after="0" w:line="276" w:lineRule="auto"/>
        <w:jc w:val="both"/>
      </w:pPr>
      <w:r>
        <w:lastRenderedPageBreak/>
        <w:t>Contratación de personal eventual para realizar las actividades del programa (promoción, detección, diagnóstico, tratamiento y captura del SICAM)</w:t>
      </w:r>
    </w:p>
    <w:p w14:paraId="1A25340B" w14:textId="77777777" w:rsidR="00BC6A0D" w:rsidRDefault="00BC6A0D" w:rsidP="00BC6A0D">
      <w:pPr>
        <w:pStyle w:val="Prrafodelista"/>
        <w:numPr>
          <w:ilvl w:val="0"/>
          <w:numId w:val="8"/>
        </w:numPr>
        <w:spacing w:after="0" w:line="276" w:lineRule="auto"/>
        <w:jc w:val="both"/>
      </w:pPr>
      <w:r>
        <w:t>Se cuenta con suficientes recursos financieros.</w:t>
      </w:r>
    </w:p>
    <w:p w14:paraId="67614B05" w14:textId="204A4771" w:rsidR="006174B7" w:rsidRDefault="00BC6A0D" w:rsidP="00BC6A0D">
      <w:pPr>
        <w:pStyle w:val="Prrafodelista"/>
        <w:numPr>
          <w:ilvl w:val="0"/>
          <w:numId w:val="8"/>
        </w:numPr>
        <w:spacing w:after="0" w:line="276" w:lineRule="auto"/>
        <w:jc w:val="both"/>
      </w:pPr>
      <w:r>
        <w:t>Realizar dos campañas anules.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1A1BAEF" w14:textId="77777777" w:rsidR="00BC6A0D" w:rsidRDefault="00BC6A0D" w:rsidP="00BC6A0D">
      <w:pPr>
        <w:pStyle w:val="Prrafodelista"/>
        <w:numPr>
          <w:ilvl w:val="0"/>
          <w:numId w:val="8"/>
        </w:numPr>
        <w:spacing w:after="0" w:line="276" w:lineRule="auto"/>
        <w:jc w:val="both"/>
      </w:pPr>
      <w:r>
        <w:t>No se cuenta con un instrumento para medir el grado de satisfacción de la población atendida por el Programa.</w:t>
      </w:r>
    </w:p>
    <w:p w14:paraId="548D2CC7" w14:textId="77777777" w:rsidR="00BC6A0D" w:rsidRDefault="00BC6A0D" w:rsidP="00BC6A0D">
      <w:pPr>
        <w:pStyle w:val="Prrafodelista"/>
        <w:numPr>
          <w:ilvl w:val="0"/>
          <w:numId w:val="8"/>
        </w:numPr>
        <w:spacing w:after="0" w:line="276" w:lineRule="auto"/>
        <w:jc w:val="both"/>
      </w:pPr>
      <w:r>
        <w:t>Desabasto de insumos.</w:t>
      </w:r>
    </w:p>
    <w:p w14:paraId="46FBB2D9" w14:textId="77777777" w:rsidR="00BC6A0D" w:rsidRDefault="00BC6A0D" w:rsidP="00BC6A0D">
      <w:pPr>
        <w:pStyle w:val="Prrafodelista"/>
        <w:numPr>
          <w:ilvl w:val="0"/>
          <w:numId w:val="8"/>
        </w:numPr>
        <w:spacing w:after="0" w:line="276" w:lineRule="auto"/>
        <w:jc w:val="both"/>
      </w:pPr>
      <w:r>
        <w:t>Promoción y difusión deficientes sobre el programa.</w:t>
      </w:r>
    </w:p>
    <w:p w14:paraId="4108FF88" w14:textId="77777777" w:rsidR="00BC6A0D" w:rsidRDefault="00BC6A0D" w:rsidP="00BC6A0D">
      <w:pPr>
        <w:pStyle w:val="Prrafodelista"/>
        <w:numPr>
          <w:ilvl w:val="0"/>
          <w:numId w:val="8"/>
        </w:numPr>
        <w:spacing w:after="0" w:line="276" w:lineRule="auto"/>
        <w:jc w:val="both"/>
      </w:pPr>
      <w:r>
        <w:t>Mantenimiento irregular o nulo de equipos.</w:t>
      </w:r>
    </w:p>
    <w:p w14:paraId="3C0C1519" w14:textId="113FCFF0" w:rsidR="005D6B8F" w:rsidRDefault="00BC6A0D" w:rsidP="00BC6A0D">
      <w:pPr>
        <w:pStyle w:val="Prrafodelista"/>
        <w:numPr>
          <w:ilvl w:val="0"/>
          <w:numId w:val="8"/>
        </w:numPr>
        <w:spacing w:after="0" w:line="276" w:lineRule="auto"/>
        <w:jc w:val="both"/>
      </w:pPr>
      <w:r>
        <w:t>Equipos de mastografía fuera de servicio.</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771649C7" w14:textId="77777777" w:rsidR="00BC6A0D" w:rsidRDefault="00BC6A0D" w:rsidP="00BC6A0D">
      <w:pPr>
        <w:pStyle w:val="Prrafodelista"/>
        <w:numPr>
          <w:ilvl w:val="0"/>
          <w:numId w:val="8"/>
        </w:numPr>
        <w:spacing w:after="0" w:line="276" w:lineRule="auto"/>
        <w:jc w:val="both"/>
      </w:pPr>
      <w:r>
        <w:t>No se cuenta con un instrumento para medir el grado de satisfacción de la población atendida por el Programa.</w:t>
      </w:r>
    </w:p>
    <w:p w14:paraId="2D1948F6" w14:textId="77777777" w:rsidR="00BC6A0D" w:rsidRDefault="00BC6A0D" w:rsidP="00BC6A0D">
      <w:pPr>
        <w:pStyle w:val="Prrafodelista"/>
        <w:numPr>
          <w:ilvl w:val="0"/>
          <w:numId w:val="8"/>
        </w:numPr>
        <w:spacing w:after="0" w:line="276" w:lineRule="auto"/>
        <w:jc w:val="both"/>
      </w:pPr>
      <w:r>
        <w:t>Licitaciones desiertas y tardías para la compra de insumos.</w:t>
      </w:r>
    </w:p>
    <w:p w14:paraId="3E10CDF9" w14:textId="77777777" w:rsidR="00BC6A0D" w:rsidRDefault="00BC6A0D" w:rsidP="00BC6A0D">
      <w:pPr>
        <w:pStyle w:val="Prrafodelista"/>
        <w:numPr>
          <w:ilvl w:val="0"/>
          <w:numId w:val="8"/>
        </w:numPr>
        <w:spacing w:after="0" w:line="276" w:lineRule="auto"/>
        <w:jc w:val="both"/>
      </w:pPr>
      <w:r>
        <w:t>Jurisdicciones sanitarias con población flotante (población que utiliza un territorio, pero su lugar de residencia es otro).</w:t>
      </w:r>
    </w:p>
    <w:p w14:paraId="25BAA3AC" w14:textId="77777777" w:rsidR="00BC6A0D" w:rsidRDefault="00BC6A0D" w:rsidP="00BC6A0D">
      <w:pPr>
        <w:pStyle w:val="Prrafodelista"/>
        <w:numPr>
          <w:ilvl w:val="0"/>
          <w:numId w:val="8"/>
        </w:numPr>
        <w:spacing w:after="0" w:line="276" w:lineRule="auto"/>
        <w:jc w:val="both"/>
      </w:pPr>
      <w:r>
        <w:t>Municipios marginados del Estado.</w:t>
      </w:r>
    </w:p>
    <w:p w14:paraId="0425CBA3" w14:textId="77777777" w:rsidR="00BC6A0D" w:rsidRDefault="00BC6A0D" w:rsidP="00BC6A0D">
      <w:pPr>
        <w:pStyle w:val="Prrafodelista"/>
        <w:numPr>
          <w:ilvl w:val="0"/>
          <w:numId w:val="8"/>
        </w:numPr>
        <w:spacing w:after="0" w:line="276" w:lineRule="auto"/>
        <w:jc w:val="both"/>
      </w:pPr>
      <w:r>
        <w:t>Personal no certificado.</w:t>
      </w:r>
    </w:p>
    <w:p w14:paraId="6D6D7BAA" w14:textId="3901F100" w:rsidR="005D6B8F" w:rsidRDefault="00BC6A0D" w:rsidP="00BC6A0D">
      <w:pPr>
        <w:pStyle w:val="Prrafodelista"/>
        <w:numPr>
          <w:ilvl w:val="0"/>
          <w:numId w:val="8"/>
        </w:numPr>
        <w:spacing w:after="0" w:line="276" w:lineRule="auto"/>
        <w:jc w:val="both"/>
      </w:pPr>
      <w:r>
        <w:t>Actitud del personal.</w:t>
      </w:r>
    </w:p>
    <w:p w14:paraId="30BA35DA" w14:textId="39697654" w:rsidR="00AF2993" w:rsidRDefault="00AF2993" w:rsidP="00521401">
      <w:pPr>
        <w:spacing w:after="0" w:line="276" w:lineRule="auto"/>
        <w:ind w:hanging="284"/>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185FFE">
        <w:trPr>
          <w:trHeight w:val="340"/>
          <w:tblHeader/>
        </w:trPr>
        <w:tc>
          <w:tcPr>
            <w:tcW w:w="9910" w:type="dxa"/>
            <w:shd w:val="clear" w:color="auto" w:fill="651D32"/>
            <w:vAlign w:val="center"/>
          </w:tcPr>
          <w:p w14:paraId="0D736EE3" w14:textId="3DA3E663"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30F09E91" w14:textId="569355BE" w:rsidR="005D6B8F" w:rsidRDefault="00BC6A0D" w:rsidP="00185FFE">
      <w:pPr>
        <w:spacing w:line="276" w:lineRule="auto"/>
        <w:ind w:left="284"/>
        <w:jc w:val="both"/>
        <w:rPr>
          <w:lang w:val="es-ES"/>
        </w:rPr>
      </w:pPr>
      <w:r w:rsidRPr="00BC6A0D">
        <w:t>Con base en las preguntas que tienen una repuesta binaria y que presentan una calificación se obtuvieron los resultados anotados en el siguiente cuadro. Como se puede observar, la puntuación global es de 2.25 sobre una calificación máxima de 4 para cada uno de los temas, destacándose las notas de cobertura y focalización y por otro lado, operación y diseño,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00BF8107" w14:textId="77777777" w:rsidR="00185FFE" w:rsidRDefault="00185FFE">
      <w:r>
        <w:br w:type="page"/>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14:paraId="2FD94B32" w14:textId="77777777" w:rsidTr="005D6B8F">
        <w:trPr>
          <w:trHeight w:val="275"/>
          <w:jc w:val="center"/>
        </w:trPr>
        <w:tc>
          <w:tcPr>
            <w:tcW w:w="3681" w:type="dxa"/>
            <w:shd w:val="clear" w:color="auto" w:fill="651D32"/>
            <w:vAlign w:val="center"/>
          </w:tcPr>
          <w:p w14:paraId="4EE87CD3" w14:textId="443357E3" w:rsidR="00A4624B" w:rsidRDefault="00A4624B" w:rsidP="002C4887">
            <w:pPr>
              <w:spacing w:after="0" w:line="240" w:lineRule="auto"/>
              <w:jc w:val="center"/>
            </w:pPr>
            <w:r>
              <w:lastRenderedPageBreak/>
              <w:t>Tema</w:t>
            </w:r>
          </w:p>
        </w:tc>
        <w:tc>
          <w:tcPr>
            <w:tcW w:w="1231" w:type="dxa"/>
            <w:shd w:val="clear" w:color="auto" w:fill="651D32"/>
            <w:vAlign w:val="center"/>
          </w:tcPr>
          <w:p w14:paraId="48098251" w14:textId="77777777" w:rsidR="00A4624B" w:rsidRDefault="00A4624B" w:rsidP="002C4887">
            <w:pPr>
              <w:spacing w:after="0" w:line="240" w:lineRule="auto"/>
              <w:jc w:val="center"/>
            </w:pPr>
            <w:r>
              <w:t>Calificación ponderada</w:t>
            </w:r>
          </w:p>
        </w:tc>
      </w:tr>
      <w:tr w:rsidR="00BC6A0D" w14:paraId="22EFC5DE" w14:textId="77777777" w:rsidTr="005D6B8F">
        <w:trPr>
          <w:trHeight w:val="57"/>
          <w:jc w:val="center"/>
        </w:trPr>
        <w:tc>
          <w:tcPr>
            <w:tcW w:w="3681" w:type="dxa"/>
            <w:vAlign w:val="center"/>
          </w:tcPr>
          <w:p w14:paraId="3E269AFA" w14:textId="77777777" w:rsidR="00BC6A0D" w:rsidRDefault="00BC6A0D" w:rsidP="00BC6A0D">
            <w:pPr>
              <w:spacing w:after="0" w:line="240" w:lineRule="auto"/>
            </w:pPr>
            <w:r>
              <w:t>Diseño</w:t>
            </w:r>
          </w:p>
        </w:tc>
        <w:tc>
          <w:tcPr>
            <w:tcW w:w="1231" w:type="dxa"/>
            <w:vAlign w:val="center"/>
          </w:tcPr>
          <w:p w14:paraId="6A142C2E" w14:textId="600A4AB5" w:rsidR="00BC6A0D" w:rsidRDefault="00BC6A0D" w:rsidP="00BC6A0D">
            <w:pPr>
              <w:spacing w:after="0" w:line="240" w:lineRule="auto"/>
              <w:jc w:val="center"/>
            </w:pPr>
            <w:r>
              <w:t>3.33</w:t>
            </w:r>
          </w:p>
        </w:tc>
      </w:tr>
      <w:tr w:rsidR="00BC6A0D" w14:paraId="1ED456F9" w14:textId="77777777" w:rsidTr="005D6B8F">
        <w:trPr>
          <w:trHeight w:val="57"/>
          <w:jc w:val="center"/>
        </w:trPr>
        <w:tc>
          <w:tcPr>
            <w:tcW w:w="3681" w:type="dxa"/>
            <w:vAlign w:val="center"/>
          </w:tcPr>
          <w:p w14:paraId="6386915D" w14:textId="77777777" w:rsidR="00BC6A0D" w:rsidRDefault="00BC6A0D" w:rsidP="00BC6A0D">
            <w:pPr>
              <w:spacing w:after="0" w:line="240" w:lineRule="auto"/>
            </w:pPr>
            <w:r>
              <w:t>Planeación y orientación a resultados</w:t>
            </w:r>
          </w:p>
        </w:tc>
        <w:tc>
          <w:tcPr>
            <w:tcW w:w="1231" w:type="dxa"/>
            <w:vAlign w:val="center"/>
          </w:tcPr>
          <w:p w14:paraId="3C839412" w14:textId="05E0FA2B" w:rsidR="00BC6A0D" w:rsidRDefault="00BC6A0D" w:rsidP="00BC6A0D">
            <w:pPr>
              <w:spacing w:after="0" w:line="240" w:lineRule="auto"/>
              <w:jc w:val="center"/>
            </w:pPr>
            <w:r>
              <w:t>2.00</w:t>
            </w:r>
          </w:p>
        </w:tc>
      </w:tr>
      <w:tr w:rsidR="00BC6A0D" w14:paraId="3D4D2757" w14:textId="77777777" w:rsidTr="005D6B8F">
        <w:trPr>
          <w:trHeight w:val="57"/>
          <w:jc w:val="center"/>
        </w:trPr>
        <w:tc>
          <w:tcPr>
            <w:tcW w:w="3681" w:type="dxa"/>
            <w:vAlign w:val="center"/>
          </w:tcPr>
          <w:p w14:paraId="53195F87" w14:textId="77777777" w:rsidR="00BC6A0D" w:rsidRDefault="00BC6A0D" w:rsidP="00BC6A0D">
            <w:pPr>
              <w:spacing w:after="0" w:line="240" w:lineRule="auto"/>
            </w:pPr>
            <w:r>
              <w:t>Cobertura y focalización</w:t>
            </w:r>
          </w:p>
        </w:tc>
        <w:tc>
          <w:tcPr>
            <w:tcW w:w="1231" w:type="dxa"/>
            <w:vAlign w:val="center"/>
          </w:tcPr>
          <w:p w14:paraId="0F72AC6A" w14:textId="22EA0A21" w:rsidR="00BC6A0D" w:rsidRDefault="00BC6A0D" w:rsidP="00BC6A0D">
            <w:pPr>
              <w:spacing w:after="0" w:line="240" w:lineRule="auto"/>
              <w:jc w:val="center"/>
            </w:pPr>
            <w:r>
              <w:t>4.00</w:t>
            </w:r>
          </w:p>
        </w:tc>
      </w:tr>
      <w:tr w:rsidR="00BC6A0D" w14:paraId="0D64BF50" w14:textId="77777777" w:rsidTr="005D6B8F">
        <w:trPr>
          <w:trHeight w:val="57"/>
          <w:jc w:val="center"/>
        </w:trPr>
        <w:tc>
          <w:tcPr>
            <w:tcW w:w="3681" w:type="dxa"/>
            <w:vAlign w:val="center"/>
          </w:tcPr>
          <w:p w14:paraId="53EAFD5C" w14:textId="77777777" w:rsidR="00BC6A0D" w:rsidRDefault="00BC6A0D" w:rsidP="00BC6A0D">
            <w:pPr>
              <w:spacing w:after="0" w:line="240" w:lineRule="auto"/>
            </w:pPr>
            <w:r>
              <w:t>Operación</w:t>
            </w:r>
          </w:p>
        </w:tc>
        <w:tc>
          <w:tcPr>
            <w:tcW w:w="1231" w:type="dxa"/>
            <w:vAlign w:val="center"/>
          </w:tcPr>
          <w:p w14:paraId="79069A92" w14:textId="07936AE9" w:rsidR="00BC6A0D" w:rsidRDefault="00BC6A0D" w:rsidP="00BC6A0D">
            <w:pPr>
              <w:spacing w:after="0" w:line="240" w:lineRule="auto"/>
              <w:jc w:val="center"/>
            </w:pPr>
            <w:r>
              <w:t>3.58</w:t>
            </w:r>
          </w:p>
        </w:tc>
      </w:tr>
      <w:tr w:rsidR="00BC6A0D" w14:paraId="6342DFC4" w14:textId="77777777" w:rsidTr="005D6B8F">
        <w:trPr>
          <w:trHeight w:val="57"/>
          <w:jc w:val="center"/>
        </w:trPr>
        <w:tc>
          <w:tcPr>
            <w:tcW w:w="3681" w:type="dxa"/>
            <w:vAlign w:val="center"/>
          </w:tcPr>
          <w:p w14:paraId="6D0C25AB" w14:textId="77777777" w:rsidR="00BC6A0D" w:rsidRDefault="00BC6A0D" w:rsidP="00BC6A0D">
            <w:pPr>
              <w:spacing w:after="0" w:line="240" w:lineRule="auto"/>
            </w:pPr>
            <w:r>
              <w:t>Percepción de la población atendida</w:t>
            </w:r>
          </w:p>
        </w:tc>
        <w:tc>
          <w:tcPr>
            <w:tcW w:w="1231" w:type="dxa"/>
            <w:vAlign w:val="center"/>
          </w:tcPr>
          <w:p w14:paraId="060E0783" w14:textId="3D7914BB" w:rsidR="00BC6A0D" w:rsidRDefault="00BC6A0D" w:rsidP="00BC6A0D">
            <w:pPr>
              <w:spacing w:after="0" w:line="240" w:lineRule="auto"/>
              <w:jc w:val="center"/>
            </w:pPr>
            <w:r>
              <w:t>0</w:t>
            </w:r>
          </w:p>
        </w:tc>
      </w:tr>
      <w:tr w:rsidR="00BC6A0D" w14:paraId="725AA31E" w14:textId="77777777" w:rsidTr="005D6B8F">
        <w:trPr>
          <w:trHeight w:val="57"/>
          <w:jc w:val="center"/>
        </w:trPr>
        <w:tc>
          <w:tcPr>
            <w:tcW w:w="3681" w:type="dxa"/>
            <w:vAlign w:val="center"/>
          </w:tcPr>
          <w:p w14:paraId="178F3E5E" w14:textId="77777777" w:rsidR="00BC6A0D" w:rsidRDefault="00BC6A0D" w:rsidP="00BC6A0D">
            <w:pPr>
              <w:spacing w:after="0" w:line="240" w:lineRule="auto"/>
            </w:pPr>
            <w:r>
              <w:t>Resultados</w:t>
            </w:r>
          </w:p>
        </w:tc>
        <w:tc>
          <w:tcPr>
            <w:tcW w:w="1231" w:type="dxa"/>
            <w:vAlign w:val="center"/>
          </w:tcPr>
          <w:p w14:paraId="6D585FA8" w14:textId="691D2A97" w:rsidR="00BC6A0D" w:rsidRDefault="00BC6A0D" w:rsidP="00BC6A0D">
            <w:pPr>
              <w:spacing w:after="0" w:line="240" w:lineRule="auto"/>
              <w:jc w:val="center"/>
            </w:pPr>
            <w:r>
              <w:t>0.60</w:t>
            </w:r>
          </w:p>
        </w:tc>
      </w:tr>
      <w:tr w:rsidR="00BC6A0D" w14:paraId="3BED9929" w14:textId="77777777" w:rsidTr="005D6B8F">
        <w:trPr>
          <w:trHeight w:val="57"/>
          <w:jc w:val="center"/>
        </w:trPr>
        <w:tc>
          <w:tcPr>
            <w:tcW w:w="3681" w:type="dxa"/>
            <w:vAlign w:val="center"/>
          </w:tcPr>
          <w:p w14:paraId="1A30B61A" w14:textId="77777777" w:rsidR="00BC6A0D" w:rsidRDefault="00BC6A0D" w:rsidP="00BC6A0D">
            <w:pPr>
              <w:spacing w:after="0" w:line="240" w:lineRule="auto"/>
              <w:jc w:val="right"/>
            </w:pPr>
            <w:r>
              <w:t>Valoración final</w:t>
            </w:r>
          </w:p>
        </w:tc>
        <w:tc>
          <w:tcPr>
            <w:tcW w:w="1231" w:type="dxa"/>
            <w:vAlign w:val="center"/>
          </w:tcPr>
          <w:p w14:paraId="59C6D531" w14:textId="1EF7C8D6" w:rsidR="00BC6A0D" w:rsidRDefault="00BC6A0D" w:rsidP="00BC6A0D">
            <w:pPr>
              <w:spacing w:after="0" w:line="240" w:lineRule="auto"/>
              <w:jc w:val="center"/>
            </w:pPr>
            <w:r>
              <w:t>2.25</w:t>
            </w:r>
          </w:p>
        </w:tc>
      </w:tr>
    </w:tbl>
    <w:p w14:paraId="39F36B56" w14:textId="021A5E3A" w:rsidR="00A4624B" w:rsidRDefault="00A4624B"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0CC85DA" w14:textId="77777777" w:rsidR="00185FFE" w:rsidRDefault="00185FFE" w:rsidP="00185FFE">
      <w:pPr>
        <w:pStyle w:val="Prrafodelista"/>
        <w:numPr>
          <w:ilvl w:val="0"/>
          <w:numId w:val="2"/>
        </w:numPr>
        <w:spacing w:after="0" w:line="276" w:lineRule="auto"/>
        <w:jc w:val="both"/>
      </w:pPr>
      <w:r>
        <w:t>Establecer un instrumento que permita recabar información para medir el grado de satisfacción de la población atendida y sus resultados.</w:t>
      </w:r>
    </w:p>
    <w:p w14:paraId="4137B225" w14:textId="77777777" w:rsidR="00185FFE" w:rsidRDefault="00185FFE" w:rsidP="00185FFE">
      <w:pPr>
        <w:pStyle w:val="Prrafodelista"/>
        <w:numPr>
          <w:ilvl w:val="0"/>
          <w:numId w:val="2"/>
        </w:numPr>
        <w:spacing w:after="0" w:line="276" w:lineRule="auto"/>
        <w:jc w:val="both"/>
      </w:pPr>
      <w:r>
        <w:t>Realizar un diagnóstico sobre la situación de la cadena de suministro ante el desabasto de los insumos.</w:t>
      </w:r>
    </w:p>
    <w:p w14:paraId="10BA06E5" w14:textId="108DCBD6" w:rsidR="00185FFE" w:rsidRDefault="00185FFE" w:rsidP="00185FFE">
      <w:pPr>
        <w:pStyle w:val="Prrafodelista"/>
        <w:numPr>
          <w:ilvl w:val="0"/>
          <w:numId w:val="2"/>
        </w:numPr>
        <w:spacing w:after="0" w:line="276" w:lineRule="auto"/>
        <w:jc w:val="both"/>
      </w:pPr>
      <w:r>
        <w:t>Brindar jornadas de promoción y difusión sobre los servicios del programar Cáncer de la Mujer.</w:t>
      </w:r>
    </w:p>
    <w:p w14:paraId="4BA728C7" w14:textId="77777777" w:rsidR="00185FFE" w:rsidRDefault="00185FFE" w:rsidP="00185FFE">
      <w:pPr>
        <w:pStyle w:val="Prrafodelista"/>
        <w:numPr>
          <w:ilvl w:val="0"/>
          <w:numId w:val="2"/>
        </w:numPr>
        <w:spacing w:after="0" w:line="276" w:lineRule="auto"/>
        <w:jc w:val="both"/>
      </w:pPr>
      <w:r>
        <w:t>Gestionar actualización y mantenimiento a los equipos.</w:t>
      </w:r>
    </w:p>
    <w:p w14:paraId="66D42CDD" w14:textId="77777777" w:rsidR="00185FFE" w:rsidRDefault="00185FFE" w:rsidP="00185FFE">
      <w:pPr>
        <w:pStyle w:val="Prrafodelista"/>
        <w:numPr>
          <w:ilvl w:val="0"/>
          <w:numId w:val="2"/>
        </w:numPr>
        <w:spacing w:after="0" w:line="276" w:lineRule="auto"/>
        <w:jc w:val="both"/>
      </w:pPr>
      <w:r>
        <w:t>Brindar talleres y/o cursos al personal.</w:t>
      </w:r>
    </w:p>
    <w:p w14:paraId="08AD12EB" w14:textId="4793A599" w:rsidR="00A165BB" w:rsidRDefault="00185FFE" w:rsidP="00185FFE">
      <w:pPr>
        <w:pStyle w:val="Prrafodelista"/>
        <w:numPr>
          <w:ilvl w:val="0"/>
          <w:numId w:val="2"/>
        </w:numPr>
        <w:spacing w:after="0" w:line="276" w:lineRule="auto"/>
        <w:jc w:val="both"/>
      </w:pPr>
      <w:r>
        <w:t>Certificar al personal.</w:t>
      </w:r>
    </w:p>
    <w:p w14:paraId="65B6D990" w14:textId="77777777" w:rsidR="005D6B8F" w:rsidRDefault="005D6B8F" w:rsidP="005D6B8F">
      <w:pPr>
        <w:spacing w:after="0" w:line="276" w:lineRule="auto"/>
        <w:jc w:val="both"/>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Jorge Alfredo Gameros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139A0659" w:rsidR="006C747D" w:rsidRPr="00133709" w:rsidRDefault="009A2A3C" w:rsidP="00521401">
            <w:pPr>
              <w:spacing w:after="0" w:line="276" w:lineRule="auto"/>
              <w:ind w:left="179"/>
            </w:pPr>
            <w:hyperlink r:id="rId12" w:history="1">
              <w:r w:rsidR="006454E2" w:rsidRPr="00C97E49">
                <w:rPr>
                  <w:rStyle w:val="Hipervnculo"/>
                </w:rPr>
                <w:t>jorge.gameros@sinaloa.gob.mx</w:t>
              </w:r>
            </w:hyperlink>
            <w:r w:rsidR="006454E2">
              <w:t xml:space="preserve"> </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185FFE">
        <w:trPr>
          <w:trHeight w:val="340"/>
          <w:tblHeader/>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2B357F46" w:rsidR="007C4CD6" w:rsidRPr="00521401" w:rsidRDefault="00526C01" w:rsidP="00521401">
            <w:pPr>
              <w:spacing w:after="0" w:line="276" w:lineRule="auto"/>
              <w:ind w:left="179"/>
            </w:pPr>
            <w:r>
              <w:rPr>
                <w:rFonts w:eastAsia="Times New Roman"/>
                <w:color w:val="000000"/>
                <w:lang w:eastAsia="es-MX"/>
              </w:rPr>
              <w:t>Cáncer de la Mujer</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9A2A3C">
        <w:trPr>
          <w:trHeight w:val="340"/>
        </w:trPr>
        <w:tc>
          <w:tcPr>
            <w:tcW w:w="9910" w:type="dxa"/>
            <w:gridSpan w:val="4"/>
            <w:shd w:val="clear" w:color="auto" w:fill="auto"/>
            <w:vAlign w:val="center"/>
          </w:tcPr>
          <w:p w14:paraId="0850CE8D" w14:textId="24E555BC" w:rsidR="007C4CD6" w:rsidRPr="007C4CD6" w:rsidRDefault="009A2A3C" w:rsidP="00521401">
            <w:pPr>
              <w:spacing w:after="0" w:line="276" w:lineRule="auto"/>
              <w:ind w:left="179"/>
            </w:pPr>
            <w:r w:rsidRPr="009A2A3C">
              <w:t>CM</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3E1F4568" w:rsidR="007C4CD6" w:rsidRPr="007C4CD6" w:rsidRDefault="00A165BB" w:rsidP="00521401">
            <w:pPr>
              <w:spacing w:after="0" w:line="276" w:lineRule="auto"/>
              <w:ind w:left="179"/>
            </w:pPr>
            <w:r w:rsidRPr="007B0196">
              <w:rPr>
                <w:rFonts w:eastAsia="Times New Roman"/>
                <w:bCs/>
                <w:color w:val="000000"/>
                <w:lang w:eastAsia="es-MX"/>
              </w:rPr>
              <w:t>Dirección de Prevención y Promoción de la Salud</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9A2A3C">
        <w:trPr>
          <w:trHeight w:val="340"/>
        </w:trPr>
        <w:tc>
          <w:tcPr>
            <w:tcW w:w="2405" w:type="dxa"/>
            <w:shd w:val="clear" w:color="auto" w:fill="auto"/>
            <w:vAlign w:val="center"/>
          </w:tcPr>
          <w:p w14:paraId="43D369B0" w14:textId="34E52296" w:rsidR="005A28B9" w:rsidRPr="00A16BE7" w:rsidRDefault="009A2A3C" w:rsidP="00090637">
            <w:pPr>
              <w:spacing w:after="0" w:line="276" w:lineRule="auto"/>
              <w:jc w:val="center"/>
            </w:pPr>
            <w:r>
              <w:t>X</w:t>
            </w:r>
          </w:p>
        </w:tc>
        <w:tc>
          <w:tcPr>
            <w:tcW w:w="2410" w:type="dxa"/>
            <w:shd w:val="clear" w:color="auto" w:fill="auto"/>
            <w:vAlign w:val="center"/>
          </w:tcPr>
          <w:p w14:paraId="208A5616" w14:textId="70B75EAD"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9A2A3C">
        <w:trPr>
          <w:trHeight w:val="340"/>
        </w:trPr>
        <w:tc>
          <w:tcPr>
            <w:tcW w:w="3256" w:type="dxa"/>
            <w:shd w:val="clear" w:color="auto" w:fill="auto"/>
            <w:vAlign w:val="center"/>
          </w:tcPr>
          <w:p w14:paraId="06EEC80E" w14:textId="4766C129" w:rsidR="00090637" w:rsidRPr="00D913D9" w:rsidRDefault="005D6B8F" w:rsidP="00287214">
            <w:pPr>
              <w:spacing w:after="0" w:line="276" w:lineRule="auto"/>
              <w:jc w:val="center"/>
              <w:rPr>
                <w:bCs/>
              </w:rPr>
            </w:pPr>
            <w:r>
              <w:rPr>
                <w:bCs/>
              </w:rPr>
              <w:t>X</w:t>
            </w:r>
          </w:p>
        </w:tc>
        <w:tc>
          <w:tcPr>
            <w:tcW w:w="3402" w:type="dxa"/>
            <w:shd w:val="clear" w:color="auto" w:fill="auto"/>
            <w:vAlign w:val="center"/>
          </w:tcPr>
          <w:p w14:paraId="117D875F" w14:textId="17403767" w:rsidR="00090637" w:rsidRPr="00090637" w:rsidRDefault="005D6B8F"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bookmarkStart w:id="0" w:name="_GoBack"/>
            <w:bookmarkEnd w:id="0"/>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9A2A3C">
        <w:trPr>
          <w:trHeight w:val="340"/>
        </w:trPr>
        <w:tc>
          <w:tcPr>
            <w:tcW w:w="9910" w:type="dxa"/>
            <w:gridSpan w:val="3"/>
            <w:shd w:val="clear" w:color="auto" w:fill="auto"/>
          </w:tcPr>
          <w:p w14:paraId="7091B8EA" w14:textId="5C7AF26D" w:rsidR="005065B9" w:rsidRPr="00521401" w:rsidRDefault="00975299" w:rsidP="005065B9">
            <w:pPr>
              <w:spacing w:after="0" w:line="276" w:lineRule="auto"/>
              <w:ind w:left="179"/>
            </w:pPr>
            <w:r w:rsidRPr="001D3CC4">
              <w:t>Gerardo Kenny Inzunza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9A2A3C">
        <w:trPr>
          <w:trHeight w:val="340"/>
        </w:trPr>
        <w:tc>
          <w:tcPr>
            <w:tcW w:w="9910" w:type="dxa"/>
            <w:gridSpan w:val="3"/>
            <w:shd w:val="clear" w:color="auto" w:fill="auto"/>
          </w:tcPr>
          <w:p w14:paraId="54E4AA94" w14:textId="658C6F62" w:rsidR="00A4624B" w:rsidRPr="007301C5" w:rsidRDefault="009A2A3C" w:rsidP="00A4624B">
            <w:pPr>
              <w:spacing w:after="0" w:line="276" w:lineRule="auto"/>
              <w:ind w:left="179"/>
            </w:pPr>
            <w:hyperlink r:id="rId13" w:history="1">
              <w:r w:rsidR="00B7051F" w:rsidRPr="00C97E49">
                <w:rPr>
                  <w:rStyle w:val="Hipervnculo"/>
                </w:rPr>
                <w:t>doctor_inzunza@hotmail.com</w:t>
              </w:r>
            </w:hyperlink>
            <w:r w:rsidR="00B7051F">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9A2A3C">
        <w:trPr>
          <w:trHeight w:val="340"/>
        </w:trPr>
        <w:tc>
          <w:tcPr>
            <w:tcW w:w="9910" w:type="dxa"/>
            <w:gridSpan w:val="3"/>
            <w:shd w:val="clear" w:color="auto" w:fill="auto"/>
          </w:tcPr>
          <w:p w14:paraId="138DA773" w14:textId="626E8A01" w:rsidR="005065B9" w:rsidRPr="007301C5" w:rsidRDefault="00831AF9" w:rsidP="005065B9">
            <w:pPr>
              <w:spacing w:after="0" w:line="276" w:lineRule="auto"/>
              <w:ind w:left="179"/>
            </w:pPr>
            <w:r>
              <w:t>Servicios de Salud de Sinaloa</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9A2A3C">
        <w:trPr>
          <w:trHeight w:val="340"/>
        </w:trPr>
        <w:tc>
          <w:tcPr>
            <w:tcW w:w="9910" w:type="dxa"/>
            <w:gridSpan w:val="3"/>
            <w:shd w:val="clear" w:color="auto" w:fill="auto"/>
          </w:tcPr>
          <w:p w14:paraId="6F19C066" w14:textId="168A2DD7" w:rsidR="005065B9" w:rsidRPr="007301C5" w:rsidRDefault="005065B9" w:rsidP="005065B9">
            <w:pPr>
              <w:spacing w:after="0" w:line="276" w:lineRule="auto"/>
              <w:ind w:left="179"/>
            </w:pPr>
            <w:r w:rsidRPr="0058649A">
              <w:t xml:space="preserve">(667) </w:t>
            </w:r>
            <w:r w:rsidR="00A4624B">
              <w:t>758 7000 Ext. 40399</w:t>
            </w:r>
          </w:p>
        </w:tc>
      </w:tr>
    </w:tbl>
    <w:p w14:paraId="2142A7BB" w14:textId="246D872C" w:rsidR="005D6B8F" w:rsidRDefault="005D6B8F" w:rsidP="00090637">
      <w:pPr>
        <w:spacing w:after="0" w:line="276" w:lineRule="auto"/>
        <w:jc w:val="both"/>
        <w:rPr>
          <w:lang w:val="es-ES"/>
        </w:rPr>
      </w:pPr>
    </w:p>
    <w:p w14:paraId="18E777A8" w14:textId="7D9DD4B2" w:rsidR="005D6B8F" w:rsidRDefault="005D6B8F" w:rsidP="005D6B8F">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026CCAE1"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A2A3C">
          <w:rPr>
            <w:b/>
            <w:bCs/>
            <w:noProof/>
            <w:sz w:val="18"/>
            <w:szCs w:val="18"/>
          </w:rPr>
          <w:t>6</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38DD08AA"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A2A3C" w:rsidRPr="009A2A3C">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567.6pt;height:596.55pt" o:bullet="t">
        <v:imagedata r:id="rId1" o:title="03"/>
      </v:shape>
    </w:pict>
  </w:numPicBullet>
  <w:numPicBullet w:numPicBulletId="1">
    <w:pict>
      <v:shape id="_x0000_i1073" type="#_x0000_t75" style="width:282.4pt;height:298.3pt" o:bullet="t">
        <v:imagedata r:id="rId2" o:title="04"/>
      </v:shape>
    </w:pict>
  </w:numPicBullet>
  <w:abstractNum w:abstractNumId="0" w15:restartNumberingAfterBreak="0">
    <w:nsid w:val="11D00CA9"/>
    <w:multiLevelType w:val="multilevel"/>
    <w:tmpl w:val="080A001F"/>
    <w:numStyleLink w:val="Estilo1"/>
  </w:abstractNum>
  <w:abstractNum w:abstractNumId="1" w15:restartNumberingAfterBreak="0">
    <w:nsid w:val="141105A8"/>
    <w:multiLevelType w:val="hybridMultilevel"/>
    <w:tmpl w:val="6FFA30DE"/>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4117609"/>
    <w:multiLevelType w:val="hybridMultilevel"/>
    <w:tmpl w:val="202E07E4"/>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4"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6"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CB2DA8"/>
    <w:multiLevelType w:val="hybridMultilevel"/>
    <w:tmpl w:val="8EC831CE"/>
    <w:lvl w:ilvl="0" w:tplc="BD7AA8B2">
      <w:start w:val="1"/>
      <w:numFmt w:val="bullet"/>
      <w:lvlText w:val=""/>
      <w:lvlPicBulletId w:val="0"/>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F532EF"/>
    <w:multiLevelType w:val="hybridMultilevel"/>
    <w:tmpl w:val="55E0EAD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2"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62466C6"/>
    <w:multiLevelType w:val="hybridMultilevel"/>
    <w:tmpl w:val="EE56D9A2"/>
    <w:lvl w:ilvl="0" w:tplc="BD7AA8B2">
      <w:start w:val="1"/>
      <w:numFmt w:val="bullet"/>
      <w:lvlText w:val=""/>
      <w:lvlPicBulletId w:val="0"/>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7"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B86A22"/>
    <w:multiLevelType w:val="hybridMultilevel"/>
    <w:tmpl w:val="C7C4255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8"/>
  </w:num>
  <w:num w:numId="2">
    <w:abstractNumId w:val="16"/>
  </w:num>
  <w:num w:numId="3">
    <w:abstractNumId w:val="5"/>
  </w:num>
  <w:num w:numId="4">
    <w:abstractNumId w:val="13"/>
  </w:num>
  <w:num w:numId="5">
    <w:abstractNumId w:val="0"/>
  </w:num>
  <w:num w:numId="6">
    <w:abstractNumId w:val="22"/>
  </w:num>
  <w:num w:numId="7">
    <w:abstractNumId w:val="23"/>
  </w:num>
  <w:num w:numId="8">
    <w:abstractNumId w:val="24"/>
  </w:num>
  <w:num w:numId="9">
    <w:abstractNumId w:val="15"/>
  </w:num>
  <w:num w:numId="10">
    <w:abstractNumId w:val="6"/>
  </w:num>
  <w:num w:numId="11">
    <w:abstractNumId w:val="7"/>
  </w:num>
  <w:num w:numId="12">
    <w:abstractNumId w:val="21"/>
  </w:num>
  <w:num w:numId="13">
    <w:abstractNumId w:val="19"/>
  </w:num>
  <w:num w:numId="14">
    <w:abstractNumId w:val="17"/>
  </w:num>
  <w:num w:numId="15">
    <w:abstractNumId w:val="11"/>
  </w:num>
  <w:num w:numId="16">
    <w:abstractNumId w:val="3"/>
  </w:num>
  <w:num w:numId="17">
    <w:abstractNumId w:val="4"/>
  </w:num>
  <w:num w:numId="18">
    <w:abstractNumId w:val="12"/>
  </w:num>
  <w:num w:numId="19">
    <w:abstractNumId w:val="9"/>
  </w:num>
  <w:num w:numId="20">
    <w:abstractNumId w:val="20"/>
  </w:num>
  <w:num w:numId="21">
    <w:abstractNumId w:val="10"/>
  </w:num>
  <w:num w:numId="22">
    <w:abstractNumId w:val="8"/>
  </w:num>
  <w:num w:numId="23">
    <w:abstractNumId w:val="2"/>
  </w:num>
  <w:num w:numId="24">
    <w:abstractNumId w:val="14"/>
  </w:num>
  <w:num w:numId="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7F38"/>
    <w:rsid w:val="000228F8"/>
    <w:rsid w:val="00023EAD"/>
    <w:rsid w:val="00024AE9"/>
    <w:rsid w:val="0003464C"/>
    <w:rsid w:val="0003520B"/>
    <w:rsid w:val="00037498"/>
    <w:rsid w:val="00046407"/>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85FFE"/>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5A50"/>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05216"/>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26C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6B8F"/>
    <w:rsid w:val="005E2E2D"/>
    <w:rsid w:val="005E44FA"/>
    <w:rsid w:val="005F33CC"/>
    <w:rsid w:val="005F575E"/>
    <w:rsid w:val="006005B6"/>
    <w:rsid w:val="00601986"/>
    <w:rsid w:val="006021CF"/>
    <w:rsid w:val="00602B50"/>
    <w:rsid w:val="00603771"/>
    <w:rsid w:val="006047A9"/>
    <w:rsid w:val="00607334"/>
    <w:rsid w:val="006123C0"/>
    <w:rsid w:val="006174B7"/>
    <w:rsid w:val="0062578D"/>
    <w:rsid w:val="00630891"/>
    <w:rsid w:val="00634396"/>
    <w:rsid w:val="006454E2"/>
    <w:rsid w:val="00647FF3"/>
    <w:rsid w:val="006505C2"/>
    <w:rsid w:val="0065144E"/>
    <w:rsid w:val="0065719B"/>
    <w:rsid w:val="0066230E"/>
    <w:rsid w:val="00663E64"/>
    <w:rsid w:val="00666BE5"/>
    <w:rsid w:val="00671A91"/>
    <w:rsid w:val="00676800"/>
    <w:rsid w:val="0068293A"/>
    <w:rsid w:val="00690BCC"/>
    <w:rsid w:val="00691C01"/>
    <w:rsid w:val="0069467B"/>
    <w:rsid w:val="006A0424"/>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0C50"/>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50021"/>
    <w:rsid w:val="0096110F"/>
    <w:rsid w:val="00975299"/>
    <w:rsid w:val="009768FB"/>
    <w:rsid w:val="0098143F"/>
    <w:rsid w:val="00983315"/>
    <w:rsid w:val="009A182A"/>
    <w:rsid w:val="009A2A3C"/>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051F"/>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C6A0D"/>
    <w:rsid w:val="00BD577F"/>
    <w:rsid w:val="00BE1BAD"/>
    <w:rsid w:val="00BE3234"/>
    <w:rsid w:val="00BE4329"/>
    <w:rsid w:val="00BE7166"/>
    <w:rsid w:val="00BF043E"/>
    <w:rsid w:val="00BF1C9C"/>
    <w:rsid w:val="00BF1F13"/>
    <w:rsid w:val="00BF25EA"/>
    <w:rsid w:val="00BF2D82"/>
    <w:rsid w:val="00BF698D"/>
    <w:rsid w:val="00C04B92"/>
    <w:rsid w:val="00C0530C"/>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paragraph" w:styleId="Ttulo3">
    <w:name w:val="heading 3"/>
    <w:basedOn w:val="Normal"/>
    <w:next w:val="Normal"/>
    <w:link w:val="Ttulo3Car"/>
    <w:uiPriority w:val="9"/>
    <w:unhideWhenUsed/>
    <w:qFormat/>
    <w:rsid w:val="00185FFE"/>
    <w:pPr>
      <w:keepNext/>
      <w:keepLines/>
      <w:spacing w:after="20" w:line="360" w:lineRule="auto"/>
      <w:jc w:val="both"/>
      <w:outlineLvl w:val="2"/>
    </w:pPr>
    <w:rPr>
      <w:rFonts w:ascii="Mestiza" w:eastAsiaTheme="majorEastAsia" w:hAnsi="Mestiza" w:cstheme="majorBidi"/>
      <w:color w:val="651D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customStyle="1" w:styleId="Ttulo3Car">
    <w:name w:val="Título 3 Car"/>
    <w:basedOn w:val="Fuentedeprrafopredeter"/>
    <w:link w:val="Ttulo3"/>
    <w:uiPriority w:val="9"/>
    <w:rsid w:val="00185FFE"/>
    <w:rPr>
      <w:rFonts w:ascii="Mestiza" w:eastAsiaTheme="majorEastAsia" w:hAnsi="Mestiza" w:cstheme="majorBidi"/>
      <w:color w:val="651D3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ctor_inzunz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ge.gameros@sinalo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0057-90C5-4962-864A-C9D35EF6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0</TotalTime>
  <Pages>6</Pages>
  <Words>2059</Words>
  <Characters>11330</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2</cp:revision>
  <cp:lastPrinted>2022-06-17T19:35:00Z</cp:lastPrinted>
  <dcterms:created xsi:type="dcterms:W3CDTF">2022-12-01T18:10:00Z</dcterms:created>
  <dcterms:modified xsi:type="dcterms:W3CDTF">2022-12-01T18:10:00Z</dcterms:modified>
</cp:coreProperties>
</file>